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28E282" w14:textId="77777777" w:rsidR="008208FD" w:rsidRPr="00AE3D8E" w:rsidRDefault="008208FD" w:rsidP="00AE3D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E3D8E">
        <w:rPr>
          <w:rFonts w:ascii="Times New Roman" w:hAnsi="Times New Roman" w:cs="Times New Roman"/>
          <w:b/>
          <w:bCs/>
          <w:color w:val="000000" w:themeColor="text1"/>
        </w:rPr>
        <w:t xml:space="preserve">3.9. Stacja ładowania pojazdów elektrycznych </w:t>
      </w:r>
    </w:p>
    <w:p w14:paraId="6C957DF3" w14:textId="09E3FC05" w:rsidR="008208FD" w:rsidRPr="00AE3D8E" w:rsidRDefault="008208FD" w:rsidP="00AE3D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E3D8E">
        <w:rPr>
          <w:rFonts w:ascii="Times New Roman" w:hAnsi="Times New Roman" w:cs="Times New Roman"/>
          <w:color w:val="000000" w:themeColor="text1"/>
        </w:rPr>
        <w:t xml:space="preserve">Przed budynkiem urzędu zaprojektowano stację ładowania pojazdów elektrycznych o mocy 2x22kW. Stacje będą przeznaczone do użytku ogólnodostępnego, po uiszczeniu opłaty u operatora zarządzającemu stacjami. Zaprojektowano stacje aluminiowe, wolnostojące osadzone na płycie fundamentowej (wg zaleceń producenta).Stacje zasilono z dedykowanych obwodów z rozdzielni głównej RG kablem typu </w:t>
      </w:r>
      <w:proofErr w:type="spellStart"/>
      <w:r w:rsidRPr="00AE3D8E">
        <w:rPr>
          <w:rFonts w:ascii="Times New Roman" w:hAnsi="Times New Roman" w:cs="Times New Roman"/>
          <w:color w:val="000000" w:themeColor="text1"/>
        </w:rPr>
        <w:t>YKYżo</w:t>
      </w:r>
      <w:proofErr w:type="spellEnd"/>
      <w:r w:rsidRPr="00AE3D8E">
        <w:rPr>
          <w:rFonts w:ascii="Times New Roman" w:hAnsi="Times New Roman" w:cs="Times New Roman"/>
          <w:color w:val="000000" w:themeColor="text1"/>
        </w:rPr>
        <w:t xml:space="preserve">. Stacje wykonane w II klasie ochronności, fabrycznie wyposażone w zabezpieczenie różnicowo-prądowe. Instalację ładowania należy wyposażyć w system zapobiegający przeciążeniu przyłącza energetycznego. System analizuje w czasie rzeczywistym aktualny pobór mocy na obiekcie i wylicza z jaką moc może udostępnić na ładowania samochodów. Kiedy system zaobserwuje  wyższy chwilowy pobór mocy w obiekcie, organiczny moc przeznaczoną na ładowanie samochodów. </w:t>
      </w:r>
    </w:p>
    <w:p w14:paraId="3E0DCCE3" w14:textId="77777777" w:rsidR="008208FD" w:rsidRDefault="008208FD" w:rsidP="00AE3D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E3D8E">
        <w:rPr>
          <w:rFonts w:ascii="Times New Roman" w:hAnsi="Times New Roman" w:cs="Times New Roman"/>
          <w:color w:val="000000" w:themeColor="text1"/>
        </w:rPr>
        <w:t xml:space="preserve">W trakcie pracy awaryjnego źródło energii (agregat prądotwórczy) stacje ładowania są wyłączone z użytkowania. </w:t>
      </w:r>
    </w:p>
    <w:p w14:paraId="40BAE792" w14:textId="77777777" w:rsidR="00AE3D8E" w:rsidRPr="00AE3D8E" w:rsidRDefault="00AE3D8E" w:rsidP="00AE3D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14:paraId="3279F2D0" w14:textId="77777777" w:rsidR="008208FD" w:rsidRPr="00AE3D8E" w:rsidRDefault="008208FD" w:rsidP="00AE3D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E3D8E">
        <w:rPr>
          <w:rFonts w:ascii="Times New Roman" w:hAnsi="Times New Roman" w:cs="Times New Roman"/>
          <w:b/>
          <w:bCs/>
          <w:color w:val="000000" w:themeColor="text1"/>
        </w:rPr>
        <w:t xml:space="preserve">4. BMS </w:t>
      </w:r>
    </w:p>
    <w:p w14:paraId="01BB9610" w14:textId="5F50E02F" w:rsidR="003B2031" w:rsidRPr="00AE3D8E" w:rsidRDefault="008208FD" w:rsidP="00AE3D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E3D8E">
        <w:rPr>
          <w:rFonts w:ascii="Times New Roman" w:hAnsi="Times New Roman" w:cs="Times New Roman"/>
          <w:color w:val="000000" w:themeColor="text1"/>
        </w:rPr>
        <w:t xml:space="preserve">BMS nie jest objęty zakresem opracowania. Z uwagi na mnogość urządzeń aktywnych w budynku zaleca się wykonanie systemu do zarządzania energią. W tym celu, wraz z liniami zasilającymi urządzenia wykonać dodatkowe połączenia kablami UTP kat. 6 do szafy </w:t>
      </w:r>
      <w:proofErr w:type="spellStart"/>
      <w:r w:rsidRPr="00AE3D8E">
        <w:rPr>
          <w:rFonts w:ascii="Times New Roman" w:hAnsi="Times New Roman" w:cs="Times New Roman"/>
          <w:color w:val="000000" w:themeColor="text1"/>
        </w:rPr>
        <w:t>rack</w:t>
      </w:r>
      <w:proofErr w:type="spellEnd"/>
      <w:r w:rsidRPr="00AE3D8E">
        <w:rPr>
          <w:rFonts w:ascii="Times New Roman" w:hAnsi="Times New Roman" w:cs="Times New Roman"/>
          <w:color w:val="000000" w:themeColor="text1"/>
        </w:rPr>
        <w:t xml:space="preserve"> GPD.</w:t>
      </w:r>
    </w:p>
    <w:sectPr w:rsidR="003B2031" w:rsidRPr="00AE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8FD"/>
    <w:rsid w:val="003B2031"/>
    <w:rsid w:val="007640CE"/>
    <w:rsid w:val="008208FD"/>
    <w:rsid w:val="008C2180"/>
    <w:rsid w:val="00AE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D585"/>
  <w15:chartTrackingRefBased/>
  <w15:docId w15:val="{9C03FC80-16D8-4335-AB86-E6940C46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08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08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08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08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08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08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08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08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08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08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08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08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08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08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08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08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08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08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08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08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08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08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08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08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08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08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08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08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08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1087</Characters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2026-04-14T07:26:00Z</dcterms:created>
  <dcterms:modified xsi:type="dcterms:W3CDTF">2026-05-12T22:39:00Z</dcterms:modified>
</cp:coreProperties>
</file>